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стандартов первичной медицинской помощи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установленных федеральным органом исполнительной власти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 в сфере здравоохранения,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используемых в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осуществлении медицинской деятельности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Перечень стандартов первичной медико-санитарной помощи можно посмотреть на сайте Министерства здравоохранения РФ по ссылке:</w: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https://minzdrav.gov.ru/ministry/61/22/stranitsa-979/stranitsa-983/1-standarty-pervichnoy-mediko-sanitarnoy-pomoschi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132" w:dyaOrig="5194">
          <v:rect xmlns:o="urn:schemas-microsoft-com:office:office" xmlns:v="urn:schemas-microsoft-com:vml" id="rectole0000000001" style="width:256.600000pt;height:259.7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Перечень стандартов первичной медико-санитарной помощи сайте организации:</w:t>
      </w:r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https://avenumed.ru/ofitsialnaya-informatsiya/</w:t>
        </w:r>
      </w:hyperlink>
    </w:p>
    <w:p>
      <w:pPr>
        <w:widowControl w:val="false"/>
        <w:suppressAutoHyphens w:val="true"/>
        <w:spacing w:before="0" w:after="21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110" w:dyaOrig="5093">
          <v:rect xmlns:o="urn:schemas-microsoft-com:office:office" xmlns:v="urn:schemas-microsoft-com:vml" id="rectole0000000002" style="width:255.500000pt;height:254.6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media/image2.wmf" Id="docRId7" Type="http://schemas.openxmlformats.org/officeDocument/2006/relationships/image" /><Relationship Target="embeddings/oleObject0.bin" Id="docRId0" Type="http://schemas.openxmlformats.org/officeDocument/2006/relationships/oleObject" /><Relationship TargetMode="External" Target="https://minzdrav.gov.ru/ministry/61/22/stranitsa-979/stranitsa-983/1-standarty-pervichnoy-mediko-sanitarnoy-pomoschi" Id="docRId2" Type="http://schemas.openxmlformats.org/officeDocument/2006/relationships/hyperlink" /><Relationship Target="media/image1.wmf" Id="docRId4" Type="http://schemas.openxmlformats.org/officeDocument/2006/relationships/image" /><Relationship Target="embeddings/oleObject2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Mode="External" Target="https://avenumed.ru/ofitsialnaya-informatsiya/" Id="docRId5" Type="http://schemas.openxmlformats.org/officeDocument/2006/relationships/hyperlink" /><Relationship Target="styles.xml" Id="docRId9" Type="http://schemas.openxmlformats.org/officeDocument/2006/relationships/styles" /></Relationships>
</file>